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4C390" w14:textId="36FBE3CC" w:rsidR="007141A1" w:rsidRPr="00C51ED3" w:rsidRDefault="00711AD7" w:rsidP="00C51ED3">
      <w:pPr>
        <w:spacing w:after="240"/>
        <w:jc w:val="both"/>
        <w:rPr>
          <w:i/>
          <w:iCs/>
        </w:rPr>
      </w:pPr>
      <w:r w:rsidRPr="008D0C8B">
        <w:rPr>
          <w:i/>
          <w:iCs/>
          <w:highlight w:val="yellow"/>
        </w:rPr>
        <w:t>[Replace bracketed placeholders</w:t>
      </w:r>
      <w:r w:rsidR="00C51ED3" w:rsidRPr="008D0C8B">
        <w:rPr>
          <w:i/>
          <w:iCs/>
          <w:highlight w:val="yellow"/>
        </w:rPr>
        <w:t>]</w:t>
      </w:r>
      <w:r w:rsidRPr="00C51ED3">
        <w:rPr>
          <w:i/>
          <w:iCs/>
        </w:rPr>
        <w:t xml:space="preserve"> with information specific to your agency or region. This template is a starting point — </w:t>
      </w:r>
      <w:r w:rsidR="00C51ED3">
        <w:rPr>
          <w:i/>
          <w:iCs/>
        </w:rPr>
        <w:t xml:space="preserve">add, </w:t>
      </w:r>
      <w:r w:rsidRPr="00C51ED3">
        <w:rPr>
          <w:i/>
          <w:iCs/>
        </w:rPr>
        <w:t>adapt</w:t>
      </w:r>
      <w:r w:rsidR="00C51ED3">
        <w:rPr>
          <w:i/>
          <w:iCs/>
        </w:rPr>
        <w:t>, and delete</w:t>
      </w:r>
      <w:r w:rsidRPr="00C51ED3">
        <w:rPr>
          <w:i/>
          <w:iCs/>
        </w:rPr>
        <w:t xml:space="preserve"> </w:t>
      </w:r>
      <w:r w:rsidR="00C51ED3">
        <w:rPr>
          <w:i/>
          <w:iCs/>
        </w:rPr>
        <w:t xml:space="preserve">language and </w:t>
      </w:r>
      <w:r w:rsidRPr="00C51ED3">
        <w:rPr>
          <w:i/>
          <w:iCs/>
        </w:rPr>
        <w:t>sections as needed to fit your governance structure.</w:t>
      </w:r>
    </w:p>
    <w:p w14:paraId="34EF636C" w14:textId="77777777" w:rsidR="007141A1" w:rsidRDefault="00711AD7" w:rsidP="008F60D5">
      <w:pPr>
        <w:pStyle w:val="Heading1"/>
      </w:pPr>
      <w:r>
        <w:t>1. Name and Purpose</w:t>
      </w:r>
    </w:p>
    <w:p w14:paraId="5EC606AA" w14:textId="77777777" w:rsidR="007141A1" w:rsidRDefault="00711AD7">
      <w:r>
        <w:rPr>
          <w:b/>
          <w:bCs/>
        </w:rPr>
        <w:t xml:space="preserve">Workgroup Name: </w:t>
      </w:r>
      <w:r>
        <w:t>_______________________________________________</w:t>
      </w:r>
    </w:p>
    <w:p w14:paraId="6DFA9F31" w14:textId="77777777" w:rsidR="007141A1" w:rsidRDefault="00711AD7">
      <w:pPr>
        <w:spacing w:after="120"/>
      </w:pPr>
      <w:r>
        <w:t>This Workgroup is established to support the effective implementation, operation, and continuous improvement of the Shared Resources Manager (SRM) platform across participating agencies and jurisdictions.</w:t>
      </w:r>
    </w:p>
    <w:p w14:paraId="42BA092C" w14:textId="3E809BA3" w:rsidR="007141A1" w:rsidRDefault="00711AD7">
      <w:pPr>
        <w:spacing w:after="240"/>
      </w:pPr>
      <w:r>
        <w:t xml:space="preserve">The Workgroup exists to ensure that SRM remains a useful, accurate, and trusted shared operating picture for </w:t>
      </w:r>
      <w:r w:rsidR="00C51ED3">
        <w:t xml:space="preserve">shared </w:t>
      </w:r>
      <w:r>
        <w:t>radio channels, deployable equipment, and personnel — and that the people who rely on it day to day have a voice in how it evolves.</w:t>
      </w:r>
    </w:p>
    <w:p w14:paraId="75FEA5E3" w14:textId="77777777" w:rsidR="007141A1" w:rsidRDefault="00711AD7" w:rsidP="008F60D5">
      <w:pPr>
        <w:pStyle w:val="Heading1"/>
      </w:pPr>
      <w:r>
        <w:t>2. Sponsorship and Authority</w:t>
      </w:r>
    </w:p>
    <w:p w14:paraId="452EEB8D" w14:textId="429A1EB1" w:rsidR="007141A1" w:rsidRDefault="00711AD7">
      <w:pPr>
        <w:spacing w:after="120"/>
      </w:pPr>
      <w:r>
        <w:t>The Workgroup is sponsored by the Master Entity — the top-level SRM subscriber responsible for the platform subscription and overall agreement with S</w:t>
      </w:r>
      <w:r w:rsidR="00C51ED3">
        <w:t xml:space="preserve">hared </w:t>
      </w:r>
      <w:r>
        <w:t>R</w:t>
      </w:r>
      <w:r w:rsidR="00C51ED3">
        <w:t xml:space="preserve">esources </w:t>
      </w:r>
      <w:r>
        <w:t>M</w:t>
      </w:r>
      <w:r w:rsidR="00C51ED3">
        <w:t>anager for Public Safety</w:t>
      </w:r>
      <w:r>
        <w:t>.</w:t>
      </w:r>
    </w:p>
    <w:p w14:paraId="340F6441" w14:textId="77777777" w:rsidR="007141A1" w:rsidRDefault="00711AD7">
      <w:r>
        <w:rPr>
          <w:b/>
          <w:bCs/>
        </w:rPr>
        <w:t xml:space="preserve">Master Entity (Sponsor): </w:t>
      </w:r>
      <w:r>
        <w:t>_______________________________________________</w:t>
      </w:r>
    </w:p>
    <w:p w14:paraId="4D85D7E5" w14:textId="77777777" w:rsidR="007141A1" w:rsidRDefault="00711AD7">
      <w:r>
        <w:rPr>
          <w:b/>
          <w:bCs/>
        </w:rPr>
        <w:t xml:space="preserve">Executive Sponsor / Point of Contact: </w:t>
      </w:r>
      <w:r>
        <w:t>_______________________________________________</w:t>
      </w:r>
    </w:p>
    <w:p w14:paraId="22B85492" w14:textId="77777777" w:rsidR="007141A1" w:rsidRDefault="00711AD7">
      <w:pPr>
        <w:spacing w:after="120"/>
      </w:pPr>
      <w:r>
        <w:t>The Workgroup operates under the authority of, and reports to, the Master Entity. The Master Entity retains ultimate decision-making authority over SRM configuration, participation, policy, and budget.</w:t>
      </w:r>
    </w:p>
    <w:p w14:paraId="1491197E" w14:textId="77777777" w:rsidR="007141A1" w:rsidRDefault="00711AD7">
      <w:pPr>
        <w:spacing w:after="240"/>
      </w:pPr>
      <w:r>
        <w:t>Advisory Role: This Workgroup is advisory in nature. It develops recommendations, guidance, and proposals for the Master Entity's consideration. It does not have independent authority to commit the Master Entity to costs, policy changes, configuration changes, or agreements with other entities. Final decisions rest with the Master Entity.</w:t>
      </w:r>
    </w:p>
    <w:p w14:paraId="1D8BAFF2" w14:textId="77777777" w:rsidR="007141A1" w:rsidRDefault="00711AD7" w:rsidP="008F60D5">
      <w:pPr>
        <w:pStyle w:val="Heading1"/>
      </w:pPr>
      <w:r>
        <w:t>3. Membership</w:t>
      </w:r>
    </w:p>
    <w:p w14:paraId="12E9A119" w14:textId="77777777" w:rsidR="007141A1" w:rsidRDefault="00711AD7">
      <w:pPr>
        <w:spacing w:after="120"/>
      </w:pPr>
      <w:r>
        <w:t>Membership should represent the range of agencies, disciplines, and roles that rely on SRM, so that recommendations reflect operational reality across the user base.</w:t>
      </w:r>
    </w:p>
    <w:p w14:paraId="27D5E8D1" w14:textId="77777777" w:rsidR="007141A1" w:rsidRDefault="00711AD7">
      <w:pPr>
        <w:pStyle w:val="Heading2"/>
      </w:pPr>
      <w:r>
        <w:t>Suggested Composition</w:t>
      </w:r>
    </w:p>
    <w:p w14:paraId="54515E42" w14:textId="72E80EB3" w:rsidR="007141A1" w:rsidRDefault="00711AD7">
      <w:pPr>
        <w:pStyle w:val="ListParagraph"/>
        <w:numPr>
          <w:ilvl w:val="0"/>
          <w:numId w:val="2"/>
        </w:numPr>
      </w:pPr>
      <w:r>
        <w:t>Representative(s) from the Master Entity</w:t>
      </w:r>
    </w:p>
    <w:p w14:paraId="5099FCFE" w14:textId="77777777" w:rsidR="007141A1" w:rsidRDefault="00711AD7">
      <w:pPr>
        <w:pStyle w:val="ListParagraph"/>
        <w:numPr>
          <w:ilvl w:val="0"/>
          <w:numId w:val="2"/>
        </w:numPr>
      </w:pPr>
      <w:r>
        <w:t>Representatives from participating member agencies</w:t>
      </w:r>
    </w:p>
    <w:p w14:paraId="3E8B6F25" w14:textId="77777777" w:rsidR="007141A1" w:rsidRDefault="00711AD7">
      <w:pPr>
        <w:pStyle w:val="ListParagraph"/>
        <w:numPr>
          <w:ilvl w:val="0"/>
          <w:numId w:val="2"/>
        </w:numPr>
      </w:pPr>
      <w:r>
        <w:t>Telecommunicators / PSAP representative(s)</w:t>
      </w:r>
    </w:p>
    <w:p w14:paraId="0633B43D" w14:textId="77777777" w:rsidR="007141A1" w:rsidRDefault="00711AD7">
      <w:pPr>
        <w:pStyle w:val="ListParagraph"/>
        <w:numPr>
          <w:ilvl w:val="0"/>
          <w:numId w:val="2"/>
        </w:numPr>
      </w:pPr>
      <w:r>
        <w:t>ICT Branch representation (e.g., COML, COMT, INCM, INTD)</w:t>
      </w:r>
    </w:p>
    <w:p w14:paraId="08963AD1" w14:textId="77777777" w:rsidR="007141A1" w:rsidRDefault="00711AD7">
      <w:pPr>
        <w:pStyle w:val="ListParagraph"/>
        <w:numPr>
          <w:ilvl w:val="0"/>
          <w:numId w:val="2"/>
        </w:numPr>
      </w:pPr>
      <w:r>
        <w:t>Emergency management representative(s)</w:t>
      </w:r>
    </w:p>
    <w:p w14:paraId="065B0F50" w14:textId="77777777" w:rsidR="007141A1" w:rsidRDefault="00711AD7">
      <w:pPr>
        <w:pStyle w:val="ListParagraph"/>
        <w:numPr>
          <w:ilvl w:val="0"/>
          <w:numId w:val="2"/>
        </w:numPr>
      </w:pPr>
      <w:r>
        <w:t>Radio system administrator(s) / IT support</w:t>
      </w:r>
    </w:p>
    <w:p w14:paraId="6E672A0E" w14:textId="009AC964" w:rsidR="007141A1" w:rsidRDefault="00711AD7">
      <w:pPr>
        <w:pStyle w:val="ListParagraph"/>
        <w:numPr>
          <w:ilvl w:val="0"/>
          <w:numId w:val="2"/>
        </w:numPr>
        <w:spacing w:after="120"/>
      </w:pPr>
      <w:r>
        <w:t xml:space="preserve">Training </w:t>
      </w:r>
      <w:r w:rsidR="00C51ED3">
        <w:t>and exercising officials</w:t>
      </w:r>
    </w:p>
    <w:p w14:paraId="06C54B8F" w14:textId="77777777" w:rsidR="007141A1" w:rsidRDefault="00711AD7">
      <w:pPr>
        <w:spacing w:after="120"/>
      </w:pPr>
      <w:r w:rsidRPr="008D0C8B">
        <w:rPr>
          <w:highlight w:val="yellow"/>
        </w:rPr>
        <w:t>[Add or remove roles to reflect your region's structure. Consider rotating non-Master-Entity seats periodically so participation is shared across member agencies.]</w:t>
      </w:r>
    </w:p>
    <w:p w14:paraId="6F36B9E0" w14:textId="21A789F7" w:rsidR="00762497" w:rsidRDefault="00762497" w:rsidP="00762497">
      <w:pPr>
        <w:pStyle w:val="Heading2"/>
      </w:pPr>
      <w:r>
        <w:t>Voting Membership</w:t>
      </w:r>
    </w:p>
    <w:p w14:paraId="1FB07E84" w14:textId="1A1693F4" w:rsidR="00762497" w:rsidRDefault="00762497" w:rsidP="00762497">
      <w:pPr>
        <w:spacing w:after="120"/>
      </w:pPr>
      <w:r>
        <w:t xml:space="preserve">Each participating member agency represented in the Workgroup is entitled to </w:t>
      </w:r>
      <w:r w:rsidRPr="008D0C8B">
        <w:rPr>
          <w:highlight w:val="yellow"/>
        </w:rPr>
        <w:t>[one voting seat / one voting seat per discipline represented]</w:t>
      </w:r>
      <w:r>
        <w:t xml:space="preserve">, designated by the agency. Representatives from the Master Entity </w:t>
      </w:r>
      <w:r w:rsidRPr="008D0C8B">
        <w:rPr>
          <w:highlight w:val="yellow"/>
        </w:rPr>
        <w:t>[may / may not]</w:t>
      </w:r>
      <w:r>
        <w:t xml:space="preserve"> hold a voting seat in addition to their sponsor role. Non-voting participants — </w:t>
      </w:r>
      <w:r>
        <w:lastRenderedPageBreak/>
        <w:t>including subject-matter advisors, observers, and vendor representatives — may attend and contribute to discussion but do not participate in formal votes.</w:t>
      </w:r>
    </w:p>
    <w:p w14:paraId="623C3945" w14:textId="50F24E3E" w:rsidR="00E66865" w:rsidRDefault="00762497" w:rsidP="00762497">
      <w:pPr>
        <w:spacing w:after="120"/>
      </w:pPr>
      <w:r>
        <w:t xml:space="preserve">If a voting seat becomes vacant, the represented agency should designate a replacement within </w:t>
      </w:r>
      <w:r w:rsidRPr="008D0C8B">
        <w:rPr>
          <w:highlight w:val="yellow"/>
        </w:rPr>
        <w:t>[30 days]</w:t>
      </w:r>
      <w:r>
        <w:t>; until a replacement is named, that seat does not count toward quorum.</w:t>
      </w:r>
    </w:p>
    <w:p w14:paraId="59F052C9" w14:textId="77777777" w:rsidR="007141A1" w:rsidRDefault="00711AD7">
      <w:pPr>
        <w:pStyle w:val="Heading2"/>
      </w:pPr>
      <w:r>
        <w:t>Roles</w:t>
      </w:r>
    </w:p>
    <w:p w14:paraId="73A4DECE" w14:textId="77777777" w:rsidR="007141A1" w:rsidRDefault="00711AD7">
      <w:r>
        <w:rPr>
          <w:b/>
          <w:bCs/>
        </w:rPr>
        <w:t xml:space="preserve">Chair: </w:t>
      </w:r>
      <w:r>
        <w:t>_______________________________________________</w:t>
      </w:r>
    </w:p>
    <w:p w14:paraId="1704735C" w14:textId="77777777" w:rsidR="007141A1" w:rsidRDefault="00711AD7">
      <w:r>
        <w:rPr>
          <w:b/>
          <w:bCs/>
        </w:rPr>
        <w:t xml:space="preserve">Vice Chair / Co-Chair (optional): </w:t>
      </w:r>
      <w:r>
        <w:t>_______________________________________________</w:t>
      </w:r>
    </w:p>
    <w:p w14:paraId="20CA40E7" w14:textId="77777777" w:rsidR="007141A1" w:rsidRDefault="00711AD7">
      <w:pPr>
        <w:spacing w:after="240"/>
      </w:pPr>
      <w:r>
        <w:rPr>
          <w:b/>
          <w:bCs/>
        </w:rPr>
        <w:t xml:space="preserve">Recording Secretary / Note-taker: </w:t>
      </w:r>
      <w:r>
        <w:t>_______________________________________________</w:t>
      </w:r>
    </w:p>
    <w:p w14:paraId="0A28A567" w14:textId="77777777" w:rsidR="007141A1" w:rsidRDefault="00711AD7" w:rsidP="008F60D5">
      <w:pPr>
        <w:pStyle w:val="Heading1"/>
      </w:pPr>
      <w:r>
        <w:t>4. Meeting Schedule</w:t>
      </w:r>
    </w:p>
    <w:p w14:paraId="545E1ED5" w14:textId="77777777" w:rsidR="007141A1" w:rsidRDefault="00711AD7">
      <w:r>
        <w:rPr>
          <w:b/>
          <w:bCs/>
        </w:rPr>
        <w:t xml:space="preserve">Regular Meeting Frequency: </w:t>
      </w:r>
      <w:r>
        <w:t>_______________________________________________</w:t>
      </w:r>
    </w:p>
    <w:p w14:paraId="39D1B6FB" w14:textId="77777777" w:rsidR="007141A1" w:rsidRDefault="00711AD7">
      <w:r>
        <w:rPr>
          <w:b/>
          <w:bCs/>
        </w:rPr>
        <w:t xml:space="preserve">Typical Format (in-person / virtual / hybrid): </w:t>
      </w:r>
      <w:r>
        <w:t>_______________________________________________</w:t>
      </w:r>
    </w:p>
    <w:p w14:paraId="3D65A0B6" w14:textId="4D2CAD29" w:rsidR="007141A1" w:rsidRDefault="00711AD7">
      <w:pPr>
        <w:spacing w:after="240"/>
      </w:pPr>
      <w:r>
        <w:t>Special meetings may be called by the Chair or at the request of the Master Entity to address urgent issues requiring timely attention.</w:t>
      </w:r>
    </w:p>
    <w:p w14:paraId="7ED344AC" w14:textId="77777777" w:rsidR="007141A1" w:rsidRDefault="00711AD7" w:rsidP="008F60D5">
      <w:pPr>
        <w:pStyle w:val="Heading1"/>
      </w:pPr>
      <w:r>
        <w:t>5. Core Responsibilities</w:t>
      </w:r>
    </w:p>
    <w:p w14:paraId="09FE8388" w14:textId="77777777" w:rsidR="007141A1" w:rsidRDefault="00711AD7">
      <w:pPr>
        <w:spacing w:after="120"/>
      </w:pPr>
      <w:r>
        <w:t>The Workgroup's core responsibilities fall into the following areas:</w:t>
      </w:r>
    </w:p>
    <w:p w14:paraId="0408B46E" w14:textId="77777777" w:rsidR="007141A1" w:rsidRDefault="00711AD7">
      <w:pPr>
        <w:pStyle w:val="Heading2"/>
      </w:pPr>
      <w:r>
        <w:t>5.1 Implementation</w:t>
      </w:r>
    </w:p>
    <w:p w14:paraId="5CFE8007" w14:textId="77777777" w:rsidR="007141A1" w:rsidRDefault="00711AD7">
      <w:pPr>
        <w:pStyle w:val="ListParagraph"/>
        <w:numPr>
          <w:ilvl w:val="0"/>
          <w:numId w:val="2"/>
        </w:numPr>
      </w:pPr>
      <w:r>
        <w:t>Support onboarding of new sub-entities, agencies, and resource types into SRM</w:t>
      </w:r>
    </w:p>
    <w:p w14:paraId="2A8282DB" w14:textId="77777777" w:rsidR="007141A1" w:rsidRDefault="00711AD7">
      <w:pPr>
        <w:pStyle w:val="ListParagraph"/>
        <w:numPr>
          <w:ilvl w:val="0"/>
          <w:numId w:val="2"/>
        </w:numPr>
      </w:pPr>
      <w:r>
        <w:t>Review and recommend resource categorization, naming conventions, and channel/equipment/personnel structures</w:t>
      </w:r>
    </w:p>
    <w:p w14:paraId="6BE2DE21" w14:textId="77777777" w:rsidR="007141A1" w:rsidRDefault="00711AD7">
      <w:pPr>
        <w:pStyle w:val="ListParagraph"/>
        <w:numPr>
          <w:ilvl w:val="0"/>
          <w:numId w:val="2"/>
        </w:numPr>
      </w:pPr>
      <w:r>
        <w:t>Help establish and refine Entity-Defined Resource Pages and Selectable Profiles for member agencies</w:t>
      </w:r>
    </w:p>
    <w:p w14:paraId="79707845" w14:textId="77777777" w:rsidR="007141A1" w:rsidRDefault="00711AD7">
      <w:pPr>
        <w:pStyle w:val="ListParagraph"/>
        <w:numPr>
          <w:ilvl w:val="0"/>
          <w:numId w:val="2"/>
        </w:numPr>
        <w:spacing w:after="120"/>
      </w:pPr>
      <w:r>
        <w:t>Identify and resolve configuration issues that affect cross-jurisdictional use</w:t>
      </w:r>
    </w:p>
    <w:p w14:paraId="6AC2D8A3" w14:textId="77777777" w:rsidR="007141A1" w:rsidRDefault="00711AD7">
      <w:pPr>
        <w:pStyle w:val="Heading2"/>
      </w:pPr>
      <w:r>
        <w:t>5.2 Growth</w:t>
      </w:r>
    </w:p>
    <w:p w14:paraId="4FFDE2DE" w14:textId="77777777" w:rsidR="007141A1" w:rsidRDefault="00711AD7">
      <w:pPr>
        <w:pStyle w:val="ListParagraph"/>
        <w:numPr>
          <w:ilvl w:val="0"/>
          <w:numId w:val="2"/>
        </w:numPr>
      </w:pPr>
      <w:r>
        <w:t>Identify additional agencies, disciplines, or resource categories that would benefit from participation in SRM</w:t>
      </w:r>
    </w:p>
    <w:p w14:paraId="59F54FF0" w14:textId="77777777" w:rsidR="007141A1" w:rsidRDefault="00711AD7">
      <w:pPr>
        <w:pStyle w:val="ListParagraph"/>
        <w:numPr>
          <w:ilvl w:val="0"/>
          <w:numId w:val="2"/>
        </w:numPr>
      </w:pPr>
      <w:r>
        <w:t>Recommend expansion priorities to the Master Entity, including any associated cost or licensing considerations</w:t>
      </w:r>
    </w:p>
    <w:p w14:paraId="33089C9B" w14:textId="77777777" w:rsidR="007141A1" w:rsidRDefault="00711AD7">
      <w:pPr>
        <w:pStyle w:val="ListParagraph"/>
        <w:numPr>
          <w:ilvl w:val="0"/>
          <w:numId w:val="2"/>
        </w:numPr>
        <w:spacing w:after="120"/>
      </w:pPr>
      <w:r>
        <w:t>Coordinate outreach to prospective member agencies, in partnership with the Master Entity</w:t>
      </w:r>
    </w:p>
    <w:p w14:paraId="6C6CA7CB" w14:textId="77777777" w:rsidR="007141A1" w:rsidRDefault="00711AD7">
      <w:pPr>
        <w:pStyle w:val="Heading2"/>
      </w:pPr>
      <w:r>
        <w:t>5.3 Education and Training</w:t>
      </w:r>
    </w:p>
    <w:p w14:paraId="1F6E0D82" w14:textId="77777777" w:rsidR="007141A1" w:rsidRDefault="00711AD7">
      <w:pPr>
        <w:pStyle w:val="ListParagraph"/>
        <w:numPr>
          <w:ilvl w:val="0"/>
          <w:numId w:val="2"/>
        </w:numPr>
      </w:pPr>
      <w:r>
        <w:t>Maintain and update role-based training materials (e.g., for telecommunicators, COMLs/emergency managers, system administrators)</w:t>
      </w:r>
    </w:p>
    <w:p w14:paraId="5C090A51" w14:textId="77777777" w:rsidR="007141A1" w:rsidRDefault="00711AD7">
      <w:pPr>
        <w:pStyle w:val="ListParagraph"/>
        <w:numPr>
          <w:ilvl w:val="0"/>
          <w:numId w:val="2"/>
        </w:numPr>
      </w:pPr>
      <w:r>
        <w:t>Coordinate onboarding and refresher training for new and existing users</w:t>
      </w:r>
    </w:p>
    <w:p w14:paraId="61DDBA50" w14:textId="77777777" w:rsidR="007141A1" w:rsidRDefault="00711AD7">
      <w:pPr>
        <w:pStyle w:val="ListParagraph"/>
        <w:numPr>
          <w:ilvl w:val="0"/>
          <w:numId w:val="2"/>
        </w:numPr>
      </w:pPr>
      <w:r>
        <w:t>Recommend and help schedule periodic webinars or training sessions</w:t>
      </w:r>
    </w:p>
    <w:p w14:paraId="124176B1" w14:textId="33524696" w:rsidR="007141A1" w:rsidRDefault="00711AD7">
      <w:pPr>
        <w:pStyle w:val="ListParagraph"/>
        <w:numPr>
          <w:ilvl w:val="0"/>
          <w:numId w:val="2"/>
        </w:numPr>
        <w:spacing w:after="120"/>
      </w:pPr>
      <w:r>
        <w:t>Promote awareness of SRM features, including the Quick Claim Widget, Reserve function, and Out</w:t>
      </w:r>
      <w:r w:rsidR="00C51ED3">
        <w:t>-</w:t>
      </w:r>
      <w:r>
        <w:t>of</w:t>
      </w:r>
      <w:r w:rsidR="00C51ED3">
        <w:t>-</w:t>
      </w:r>
      <w:r>
        <w:t>Service marking</w:t>
      </w:r>
    </w:p>
    <w:p w14:paraId="74731FCA" w14:textId="77777777" w:rsidR="007141A1" w:rsidRDefault="00711AD7">
      <w:pPr>
        <w:pStyle w:val="Heading2"/>
      </w:pPr>
      <w:r>
        <w:t>5.4 Exercising</w:t>
      </w:r>
    </w:p>
    <w:p w14:paraId="7F979120" w14:textId="77777777" w:rsidR="007141A1" w:rsidRDefault="00711AD7">
      <w:pPr>
        <w:pStyle w:val="ListParagraph"/>
        <w:numPr>
          <w:ilvl w:val="0"/>
          <w:numId w:val="2"/>
        </w:numPr>
      </w:pPr>
      <w:r>
        <w:lastRenderedPageBreak/>
        <w:t>Develop SRM-specific exercise injects to test resource claiming, reservation, and coordination workflows</w:t>
      </w:r>
    </w:p>
    <w:p w14:paraId="74A7657E" w14:textId="77777777" w:rsidR="007141A1" w:rsidRDefault="00711AD7">
      <w:pPr>
        <w:pStyle w:val="ListParagraph"/>
        <w:numPr>
          <w:ilvl w:val="0"/>
          <w:numId w:val="2"/>
        </w:numPr>
      </w:pPr>
      <w:r>
        <w:t>Recommend SRM be incorporated into regional/local exercises and drills where appropriate</w:t>
      </w:r>
    </w:p>
    <w:p w14:paraId="54ED9021" w14:textId="77777777" w:rsidR="007141A1" w:rsidRDefault="00711AD7">
      <w:pPr>
        <w:pStyle w:val="ListParagraph"/>
        <w:numPr>
          <w:ilvl w:val="0"/>
          <w:numId w:val="2"/>
        </w:numPr>
        <w:spacing w:after="120"/>
      </w:pPr>
      <w:r>
        <w:t>Review after-action reports involving SRM use and recommend follow-up actions</w:t>
      </w:r>
    </w:p>
    <w:p w14:paraId="38BF177B" w14:textId="77777777" w:rsidR="007141A1" w:rsidRDefault="00711AD7">
      <w:pPr>
        <w:pStyle w:val="Heading2"/>
      </w:pPr>
      <w:r>
        <w:t>5.5 Issue Resolution</w:t>
      </w:r>
    </w:p>
    <w:p w14:paraId="15F4AD31" w14:textId="77777777" w:rsidR="007141A1" w:rsidRDefault="00711AD7">
      <w:pPr>
        <w:pStyle w:val="ListParagraph"/>
        <w:numPr>
          <w:ilvl w:val="0"/>
          <w:numId w:val="2"/>
        </w:numPr>
      </w:pPr>
      <w:r>
        <w:t>Serve as the primary forum for raising and tracking operational issues, configuration concerns, and improvement requests related to SRM</w:t>
      </w:r>
    </w:p>
    <w:p w14:paraId="66A4ECAB" w14:textId="77777777" w:rsidR="007141A1" w:rsidRDefault="00711AD7">
      <w:pPr>
        <w:pStyle w:val="ListParagraph"/>
        <w:numPr>
          <w:ilvl w:val="0"/>
          <w:numId w:val="2"/>
        </w:numPr>
      </w:pPr>
      <w:r>
        <w:t>Triage reported issues, distinguishing between local configuration matters, training gaps, and platform-level issues requiring escalation to the Master Entity or SRM support</w:t>
      </w:r>
    </w:p>
    <w:p w14:paraId="60183AFB" w14:textId="77777777" w:rsidR="007141A1" w:rsidRDefault="00711AD7">
      <w:pPr>
        <w:pStyle w:val="ListParagraph"/>
        <w:numPr>
          <w:ilvl w:val="0"/>
          <w:numId w:val="2"/>
        </w:numPr>
        <w:spacing w:after="120"/>
      </w:pPr>
      <w:r>
        <w:t>Track open issues to resolution and report status to the Master Entity</w:t>
      </w:r>
    </w:p>
    <w:p w14:paraId="1C9B8760" w14:textId="77777777" w:rsidR="007141A1" w:rsidRDefault="00711AD7">
      <w:pPr>
        <w:pStyle w:val="Heading2"/>
      </w:pPr>
      <w:r>
        <w:t>5.6 Governance and Policy Support</w:t>
      </w:r>
    </w:p>
    <w:p w14:paraId="15A53FB3" w14:textId="77777777" w:rsidR="007141A1" w:rsidRDefault="00711AD7">
      <w:pPr>
        <w:pStyle w:val="ListParagraph"/>
        <w:numPr>
          <w:ilvl w:val="0"/>
          <w:numId w:val="2"/>
        </w:numPr>
      </w:pPr>
      <w:r>
        <w:t>Review and recommend updates to the SRM Usage Policy, Standard Operating Procedures, and related governance documents</w:t>
      </w:r>
    </w:p>
    <w:p w14:paraId="7F8976FD" w14:textId="77777777" w:rsidR="007141A1" w:rsidRDefault="00711AD7">
      <w:pPr>
        <w:pStyle w:val="ListParagraph"/>
        <w:numPr>
          <w:ilvl w:val="0"/>
          <w:numId w:val="2"/>
        </w:numPr>
      </w:pPr>
      <w:r>
        <w:t>Recommend status code definitions, channel prioritization standards, and color-coding conventions for adoption across the system</w:t>
      </w:r>
    </w:p>
    <w:p w14:paraId="57A6B441" w14:textId="77777777" w:rsidR="007141A1" w:rsidRDefault="00711AD7">
      <w:pPr>
        <w:pStyle w:val="ListParagraph"/>
        <w:numPr>
          <w:ilvl w:val="0"/>
          <w:numId w:val="2"/>
        </w:numPr>
        <w:spacing w:after="240"/>
      </w:pPr>
      <w:r>
        <w:t>Periodically review membership, access levels, and permissions for continued appropriateness</w:t>
      </w:r>
    </w:p>
    <w:p w14:paraId="315E14A1" w14:textId="77777777" w:rsidR="007141A1" w:rsidRDefault="00711AD7" w:rsidP="008F60D5">
      <w:pPr>
        <w:pStyle w:val="Heading1"/>
      </w:pPr>
      <w:r>
        <w:t>6. Use Case Submissions: Successes and Shortcomings</w:t>
      </w:r>
    </w:p>
    <w:p w14:paraId="014A375D" w14:textId="77777777" w:rsidR="007141A1" w:rsidRDefault="00711AD7">
      <w:pPr>
        <w:spacing w:after="120"/>
      </w:pPr>
      <w:r>
        <w:t>The Workgroup will establish and maintain a simple process for member agencies to submit real-world use cases describing how SRM was used in an incident, planned event, or day-to-day operation.</w:t>
      </w:r>
    </w:p>
    <w:p w14:paraId="173A9A38" w14:textId="77777777" w:rsidR="007141A1" w:rsidRDefault="00711AD7">
      <w:pPr>
        <w:spacing w:after="80"/>
      </w:pPr>
      <w:r>
        <w:t>This process serves two purposes:</w:t>
      </w:r>
    </w:p>
    <w:p w14:paraId="3E3B08FF" w14:textId="77777777" w:rsidR="007141A1" w:rsidRDefault="00711AD7">
      <w:pPr>
        <w:pStyle w:val="ListParagraph"/>
        <w:numPr>
          <w:ilvl w:val="0"/>
          <w:numId w:val="2"/>
        </w:numPr>
      </w:pPr>
      <w:r>
        <w:rPr>
          <w:b/>
          <w:bCs/>
        </w:rPr>
        <w:t xml:space="preserve">Celebrating successes </w:t>
      </w:r>
      <w:r>
        <w:t>— documenting examples where SRM improved coordination, saved time, or resolved a resource conflict, and sharing these examples to encourage adoption and best practices across the user base</w:t>
      </w:r>
    </w:p>
    <w:p w14:paraId="79D4FBE2" w14:textId="77777777" w:rsidR="007141A1" w:rsidRDefault="00711AD7">
      <w:pPr>
        <w:pStyle w:val="ListParagraph"/>
        <w:numPr>
          <w:ilvl w:val="0"/>
          <w:numId w:val="2"/>
        </w:numPr>
        <w:spacing w:after="120"/>
      </w:pPr>
      <w:r>
        <w:rPr>
          <w:b/>
          <w:bCs/>
        </w:rPr>
        <w:t xml:space="preserve">Identifying shortcomings </w:t>
      </w:r>
      <w:r>
        <w:t>— capturing instances where SRM did not work as expected, where a workflow was unclear, or where a gap in resource coverage caused difficulty, so the Workgroup can address training, configuration, or escalate platform issues as needed</w:t>
      </w:r>
    </w:p>
    <w:p w14:paraId="7ACFFC24" w14:textId="77777777" w:rsidR="007141A1" w:rsidRDefault="00711AD7">
      <w:pPr>
        <w:spacing w:after="120"/>
      </w:pPr>
      <w:r>
        <w:t>Use case submissions should be reviewed at each regular meeting (or on a recurring cadence defined by the Workgroup). Notable successes may be shared with the broader user community; notable shortcomings should be tracked as issues per Section 5.5 above.</w:t>
      </w:r>
    </w:p>
    <w:p w14:paraId="1808F8C7" w14:textId="02C759F5" w:rsidR="007141A1" w:rsidRDefault="00711AD7">
      <w:pPr>
        <w:spacing w:after="240"/>
      </w:pPr>
      <w:r>
        <w:rPr>
          <w:b/>
          <w:bCs/>
        </w:rPr>
        <w:t xml:space="preserve">Use Case Submission Method (e.g., form, email address): </w:t>
      </w:r>
      <w:r>
        <w:t>_____________________________________</w:t>
      </w:r>
    </w:p>
    <w:p w14:paraId="2B3C9BF9" w14:textId="77777777" w:rsidR="007141A1" w:rsidRDefault="00711AD7" w:rsidP="008F60D5">
      <w:pPr>
        <w:pStyle w:val="Heading1"/>
      </w:pPr>
      <w:r>
        <w:t>7. Reporting to the Master Entity</w:t>
      </w:r>
    </w:p>
    <w:p w14:paraId="4F386357" w14:textId="77777777" w:rsidR="007141A1" w:rsidRDefault="00711AD7">
      <w:pPr>
        <w:spacing w:after="80"/>
      </w:pPr>
      <w:r>
        <w:t>The Workgroup will provide the Master Entity with periodic summaries of its activities, recommendations, and any items requiring Master Entity decision or action, including:</w:t>
      </w:r>
    </w:p>
    <w:p w14:paraId="4147F02D" w14:textId="77777777" w:rsidR="007141A1" w:rsidRDefault="00711AD7">
      <w:pPr>
        <w:pStyle w:val="ListParagraph"/>
        <w:numPr>
          <w:ilvl w:val="0"/>
          <w:numId w:val="2"/>
        </w:numPr>
      </w:pPr>
      <w:r>
        <w:t>Status of open issues and resolutions</w:t>
      </w:r>
    </w:p>
    <w:p w14:paraId="7FD5B394" w14:textId="77777777" w:rsidR="007141A1" w:rsidRDefault="00711AD7">
      <w:pPr>
        <w:pStyle w:val="ListParagraph"/>
        <w:numPr>
          <w:ilvl w:val="0"/>
          <w:numId w:val="2"/>
        </w:numPr>
      </w:pPr>
      <w:r>
        <w:t>Recommended policy, configuration, or governance changes</w:t>
      </w:r>
    </w:p>
    <w:p w14:paraId="44572EAD" w14:textId="77777777" w:rsidR="007141A1" w:rsidRDefault="00711AD7">
      <w:pPr>
        <w:pStyle w:val="ListParagraph"/>
        <w:numPr>
          <w:ilvl w:val="0"/>
          <w:numId w:val="2"/>
        </w:numPr>
      </w:pPr>
      <w:r>
        <w:t>Growth and onboarding recommendations</w:t>
      </w:r>
    </w:p>
    <w:p w14:paraId="5FA66AB4" w14:textId="77777777" w:rsidR="007141A1" w:rsidRDefault="00711AD7">
      <w:pPr>
        <w:pStyle w:val="ListParagraph"/>
        <w:numPr>
          <w:ilvl w:val="0"/>
          <w:numId w:val="2"/>
        </w:numPr>
      </w:pPr>
      <w:r>
        <w:t>Notable use case successes and shortcomings</w:t>
      </w:r>
    </w:p>
    <w:p w14:paraId="0E585CA7" w14:textId="77777777" w:rsidR="007141A1" w:rsidRDefault="00711AD7">
      <w:pPr>
        <w:pStyle w:val="ListParagraph"/>
        <w:numPr>
          <w:ilvl w:val="0"/>
          <w:numId w:val="2"/>
        </w:numPr>
        <w:spacing w:after="120"/>
      </w:pPr>
      <w:r>
        <w:t>Training and exercise activity summaries</w:t>
      </w:r>
    </w:p>
    <w:p w14:paraId="6EE71D4D" w14:textId="77777777" w:rsidR="007141A1" w:rsidRDefault="00711AD7">
      <w:pPr>
        <w:spacing w:after="240"/>
      </w:pPr>
      <w:r>
        <w:rPr>
          <w:b/>
          <w:bCs/>
        </w:rPr>
        <w:t xml:space="preserve">Reporting Frequency: </w:t>
      </w:r>
      <w:r>
        <w:t>_______________________________________________</w:t>
      </w:r>
    </w:p>
    <w:p w14:paraId="335BFA60" w14:textId="77777777" w:rsidR="007141A1" w:rsidRPr="008F60D5" w:rsidRDefault="00711AD7" w:rsidP="008F60D5">
      <w:pPr>
        <w:pStyle w:val="Heading1"/>
      </w:pPr>
      <w:r w:rsidRPr="008F60D5">
        <w:lastRenderedPageBreak/>
        <w:t>8. Decision-Making</w:t>
      </w:r>
    </w:p>
    <w:p w14:paraId="06113C89" w14:textId="5838751B" w:rsidR="00BA0813" w:rsidRDefault="00BA0813" w:rsidP="00BA0813">
      <w:pPr>
        <w:spacing w:after="240"/>
      </w:pPr>
      <w:r>
        <w:t xml:space="preserve">The Workgroup seeks to operate by consensus. Where consensus cannot be reached, the Chair may call a vote among voting members. A quorum of </w:t>
      </w:r>
      <w:r w:rsidRPr="005256BD">
        <w:rPr>
          <w:highlight w:val="yellow"/>
        </w:rPr>
        <w:t>[50% / a specified number]</w:t>
      </w:r>
      <w:r>
        <w:t xml:space="preserve"> of voting members is required for a vote to be valid; the outcome is recorded as a recommendation to the Master Entity.</w:t>
      </w:r>
      <w:r w:rsidR="00004EC4">
        <w:t xml:space="preserve"> </w:t>
      </w:r>
      <w:r>
        <w:t xml:space="preserve">In the event of a tie, </w:t>
      </w:r>
      <w:r w:rsidRPr="008D0C8B">
        <w:rPr>
          <w:highlight w:val="yellow"/>
        </w:rPr>
        <w:t>[the Chair casts the deciding vote / the matter is referred to the Master Entity for resolution]</w:t>
      </w:r>
      <w:r>
        <w:t>.</w:t>
      </w:r>
    </w:p>
    <w:p w14:paraId="3DCFEA66" w14:textId="27F1E5FF" w:rsidR="007141A1" w:rsidRDefault="00711AD7" w:rsidP="00BA0813">
      <w:pPr>
        <w:spacing w:after="240"/>
      </w:pPr>
      <w:r>
        <w:t>All Workgroup recommendations are non-binding and subject to review and approval by the Master Entity before implementation.</w:t>
      </w:r>
    </w:p>
    <w:p w14:paraId="6C60105C" w14:textId="77777777" w:rsidR="007141A1" w:rsidRDefault="00711AD7" w:rsidP="008F60D5">
      <w:pPr>
        <w:pStyle w:val="Heading1"/>
      </w:pPr>
      <w:r>
        <w:t>9. Amendments to This Charter</w:t>
      </w:r>
    </w:p>
    <w:p w14:paraId="3C609A4D" w14:textId="711EC4C7" w:rsidR="007141A1" w:rsidRDefault="00004EC4">
      <w:pPr>
        <w:spacing w:after="120"/>
      </w:pPr>
      <w:r w:rsidRPr="00004EC4">
        <w:t>This Charter should be reviewed by the Workgroup at least annually, or whenever the Workgroup's membership, responsibilities, or decision-making process change significantly, with any changes subject to approval by the Master Entity.</w:t>
      </w:r>
    </w:p>
    <w:p w14:paraId="1AEDEEB2" w14:textId="4550A72D" w:rsidR="006B1B35" w:rsidRDefault="006B1B35" w:rsidP="006B1B35">
      <w:pPr>
        <w:pStyle w:val="Heading1"/>
      </w:pPr>
      <w:r>
        <w:t xml:space="preserve">10. </w:t>
      </w:r>
      <w:r w:rsidRPr="006B1B35">
        <w:t>Confidentiality</w:t>
      </w:r>
    </w:p>
    <w:p w14:paraId="19D4CD25" w14:textId="04751687" w:rsidR="006B1B35" w:rsidRDefault="006B1B35">
      <w:pPr>
        <w:spacing w:after="120"/>
      </w:pPr>
      <w:r w:rsidRPr="006B1B35">
        <w:t>Discussions of specific configuration vulnerabilities, security-sensitive resource details, or personnel information should remain within the Workgroup and the Master Entity unless release is authorized. Publicly shareable outcomes — use case successes, training materials, policy recommendations — are not restricted by this provision.</w:t>
      </w:r>
    </w:p>
    <w:p w14:paraId="7FD0DD3E" w14:textId="77777777" w:rsidR="006B1B35" w:rsidRDefault="006B1B35">
      <w:pPr>
        <w:spacing w:after="120"/>
      </w:pPr>
    </w:p>
    <w:p w14:paraId="1C27F52F" w14:textId="77777777" w:rsidR="00C76C44" w:rsidRDefault="00C76C44">
      <w:pPr>
        <w:spacing w:after="120"/>
      </w:pPr>
    </w:p>
    <w:p w14:paraId="610C3FA2" w14:textId="77777777" w:rsidR="007141A1" w:rsidRDefault="00711AD7">
      <w:r>
        <w:rPr>
          <w:b/>
          <w:bCs/>
        </w:rPr>
        <w:t xml:space="preserve">Charter Adopted (Date): </w:t>
      </w:r>
      <w:r>
        <w:t>_______________________________________________</w:t>
      </w:r>
    </w:p>
    <w:p w14:paraId="2DF20484" w14:textId="77777777" w:rsidR="007141A1" w:rsidRDefault="00711AD7">
      <w:r>
        <w:rPr>
          <w:b/>
          <w:bCs/>
        </w:rPr>
        <w:t xml:space="preserve">Last Reviewed (Date): </w:t>
      </w:r>
      <w:r>
        <w:t>_______________________________________________</w:t>
      </w:r>
    </w:p>
    <w:p w14:paraId="38A40D8D" w14:textId="77777777" w:rsidR="007141A1" w:rsidRDefault="00711AD7">
      <w:r>
        <w:rPr>
          <w:b/>
          <w:bCs/>
        </w:rPr>
        <w:t xml:space="preserve">Approved by (Master Entity Sponsor): </w:t>
      </w:r>
      <w:r>
        <w:t>_______________________________________________</w:t>
      </w:r>
    </w:p>
    <w:sectPr w:rsidR="007141A1" w:rsidSect="00C51ED3">
      <w:headerReference w:type="default" r:id="rId7"/>
      <w:pgSz w:w="12240" w:h="15840"/>
      <w:pgMar w:top="1440" w:right="1440" w:bottom="1440" w:left="1440" w:header="576"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BB18C" w14:textId="77777777" w:rsidR="0076746F" w:rsidRDefault="0076746F" w:rsidP="00C51ED3">
      <w:r>
        <w:separator/>
      </w:r>
    </w:p>
  </w:endnote>
  <w:endnote w:type="continuationSeparator" w:id="0">
    <w:p w14:paraId="3E709769" w14:textId="77777777" w:rsidR="0076746F" w:rsidRDefault="0076746F" w:rsidP="00C5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Rubber Stamp">
    <w:panose1 w:val="03000000000000000000"/>
    <w:charset w:val="00"/>
    <w:family w:val="script"/>
    <w:pitch w:val="variable"/>
    <w:sig w:usb0="80000003" w:usb1="00000042"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0C4D8" w14:textId="77777777" w:rsidR="0076746F" w:rsidRDefault="0076746F" w:rsidP="00C51ED3">
      <w:r>
        <w:separator/>
      </w:r>
    </w:p>
  </w:footnote>
  <w:footnote w:type="continuationSeparator" w:id="0">
    <w:p w14:paraId="749D4CFA" w14:textId="77777777" w:rsidR="0076746F" w:rsidRDefault="0076746F" w:rsidP="00C51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370B" w14:textId="136D459B" w:rsidR="00C51ED3" w:rsidRDefault="00C51ED3" w:rsidP="00C51ED3">
    <w:pPr>
      <w:pStyle w:val="Header"/>
      <w:jc w:val="center"/>
    </w:pPr>
    <w:r w:rsidRPr="00C51ED3">
      <w:rPr>
        <w:rFonts w:ascii="Old Rubber Stamp" w:hAnsi="Old Rubber Stamp"/>
        <w:noProof/>
        <w:color w:val="EE0000"/>
      </w:rPr>
      <mc:AlternateContent>
        <mc:Choice Requires="wps">
          <w:drawing>
            <wp:anchor distT="45720" distB="45720" distL="114300" distR="114300" simplePos="0" relativeHeight="251659264" behindDoc="0" locked="0" layoutInCell="1" allowOverlap="1" wp14:anchorId="6D655AC0" wp14:editId="57718E0E">
              <wp:simplePos x="0" y="0"/>
              <wp:positionH relativeFrom="column">
                <wp:posOffset>4405313</wp:posOffset>
              </wp:positionH>
              <wp:positionV relativeFrom="paragraph">
                <wp:posOffset>-78740</wp:posOffset>
              </wp:positionV>
              <wp:extent cx="2360930" cy="1404620"/>
              <wp:effectExtent l="38100" t="247650" r="20320" b="2609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6140">
                        <a:off x="0" y="0"/>
                        <a:ext cx="2360930" cy="1404620"/>
                      </a:xfrm>
                      <a:prstGeom prst="rect">
                        <a:avLst/>
                      </a:prstGeom>
                      <a:solidFill>
                        <a:srgbClr val="FFFFFF"/>
                      </a:solidFill>
                      <a:ln w="9525">
                        <a:noFill/>
                        <a:miter lim="800000"/>
                        <a:headEnd/>
                        <a:tailEnd/>
                      </a:ln>
                    </wps:spPr>
                    <wps:txbx>
                      <w:txbxContent>
                        <w:p w14:paraId="1A541430" w14:textId="77777777" w:rsidR="00C51ED3" w:rsidRPr="00C51ED3" w:rsidRDefault="00C51ED3" w:rsidP="00C51ED3">
                          <w:pPr>
                            <w:jc w:val="center"/>
                            <w:rPr>
                              <w:rFonts w:ascii="Old Rubber Stamp" w:hAnsi="Old Rubber Stamp"/>
                              <w:color w:val="EE0000"/>
                              <w:sz w:val="48"/>
                              <w:szCs w:val="48"/>
                            </w:rPr>
                          </w:pPr>
                          <w:r w:rsidRPr="00C51ED3">
                            <w:rPr>
                              <w:rFonts w:ascii="Old Rubber Stamp" w:hAnsi="Old Rubber Stamp"/>
                              <w:color w:val="EE0000"/>
                              <w:sz w:val="48"/>
                              <w:szCs w:val="48"/>
                            </w:rPr>
                            <w:t>SAMPLE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D655AC0" id="_x0000_t202" coordsize="21600,21600" o:spt="202" path="m,l,21600r21600,l21600,xe">
              <v:stroke joinstyle="miter"/>
              <v:path gradientshapeok="t" o:connecttype="rect"/>
            </v:shapetype>
            <v:shape id="Text Box 2" o:spid="_x0000_s1026" type="#_x0000_t202" style="position:absolute;left:0;text-align:left;margin-left:346.9pt;margin-top:-6.2pt;width:185.9pt;height:110.6pt;rotation:793139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" stroked="f">
              <v:textbox style="mso-fit-shape-to-text:t">
                <w:txbxContent>
                  <w:p w14:paraId="1A541430" w14:textId="77777777" w:rsidR="00C51ED3" w:rsidRPr="00C51ED3" w:rsidRDefault="00C51ED3" w:rsidP="00C51ED3">
                    <w:pPr>
                      <w:jc w:val="center"/>
                      <w:rPr>
                        <w:rFonts w:ascii="Old Rubber Stamp" w:hAnsi="Old Rubber Stamp"/>
                        <w:color w:val="EE0000"/>
                        <w:sz w:val="48"/>
                        <w:szCs w:val="48"/>
                      </w:rPr>
                    </w:pPr>
                    <w:r w:rsidRPr="00C51ED3">
                      <w:rPr>
                        <w:rFonts w:ascii="Old Rubber Stamp" w:hAnsi="Old Rubber Stamp"/>
                        <w:color w:val="EE0000"/>
                        <w:sz w:val="48"/>
                        <w:szCs w:val="48"/>
                      </w:rPr>
                      <w:t>SAMPLE</w:t>
                    </w:r>
                  </w:p>
                </w:txbxContent>
              </v:textbox>
            </v:shape>
          </w:pict>
        </mc:Fallback>
      </mc:AlternateContent>
    </w:r>
    <w:r>
      <w:rPr>
        <w:b/>
        <w:bCs/>
        <w:color w:val="2E75B6"/>
        <w:sz w:val="36"/>
        <w:szCs w:val="36"/>
      </w:rPr>
      <w:t>SRM Workgroup Charter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33D2"/>
    <w:multiLevelType w:val="hybridMultilevel"/>
    <w:tmpl w:val="7868AC78"/>
    <w:lvl w:ilvl="0" w:tplc="21D8D204">
      <w:start w:val="1"/>
      <w:numFmt w:val="bullet"/>
      <w:lvlText w:val="•"/>
      <w:lvlJc w:val="left"/>
      <w:pPr>
        <w:ind w:left="720" w:hanging="360"/>
      </w:pPr>
    </w:lvl>
    <w:lvl w:ilvl="1" w:tplc="9956FB48">
      <w:numFmt w:val="decimal"/>
      <w:lvlText w:val=""/>
      <w:lvlJc w:val="left"/>
    </w:lvl>
    <w:lvl w:ilvl="2" w:tplc="85C424D2">
      <w:numFmt w:val="decimal"/>
      <w:lvlText w:val=""/>
      <w:lvlJc w:val="left"/>
    </w:lvl>
    <w:lvl w:ilvl="3" w:tplc="F320C39E">
      <w:numFmt w:val="decimal"/>
      <w:lvlText w:val=""/>
      <w:lvlJc w:val="left"/>
    </w:lvl>
    <w:lvl w:ilvl="4" w:tplc="17AC99A0">
      <w:numFmt w:val="decimal"/>
      <w:lvlText w:val=""/>
      <w:lvlJc w:val="left"/>
    </w:lvl>
    <w:lvl w:ilvl="5" w:tplc="F7A285DA">
      <w:numFmt w:val="decimal"/>
      <w:lvlText w:val=""/>
      <w:lvlJc w:val="left"/>
    </w:lvl>
    <w:lvl w:ilvl="6" w:tplc="915262B4">
      <w:numFmt w:val="decimal"/>
      <w:lvlText w:val=""/>
      <w:lvlJc w:val="left"/>
    </w:lvl>
    <w:lvl w:ilvl="7" w:tplc="1F8225F8">
      <w:numFmt w:val="decimal"/>
      <w:lvlText w:val=""/>
      <w:lvlJc w:val="left"/>
    </w:lvl>
    <w:lvl w:ilvl="8" w:tplc="20CEC606">
      <w:numFmt w:val="decimal"/>
      <w:lvlText w:val=""/>
      <w:lvlJc w:val="left"/>
    </w:lvl>
  </w:abstractNum>
  <w:abstractNum w:abstractNumId="1" w15:restartNumberingAfterBreak="0">
    <w:nsid w:val="55350FDB"/>
    <w:multiLevelType w:val="hybridMultilevel"/>
    <w:tmpl w:val="77044A32"/>
    <w:lvl w:ilvl="0" w:tplc="C9988898">
      <w:start w:val="1"/>
      <w:numFmt w:val="bullet"/>
      <w:lvlText w:val="●"/>
      <w:lvlJc w:val="left"/>
      <w:pPr>
        <w:ind w:left="720" w:hanging="360"/>
      </w:pPr>
    </w:lvl>
    <w:lvl w:ilvl="1" w:tplc="9956E8BC">
      <w:start w:val="1"/>
      <w:numFmt w:val="bullet"/>
      <w:lvlText w:val="○"/>
      <w:lvlJc w:val="left"/>
      <w:pPr>
        <w:ind w:left="1440" w:hanging="360"/>
      </w:pPr>
    </w:lvl>
    <w:lvl w:ilvl="2" w:tplc="0A1AC6D2">
      <w:start w:val="1"/>
      <w:numFmt w:val="bullet"/>
      <w:lvlText w:val="■"/>
      <w:lvlJc w:val="left"/>
      <w:pPr>
        <w:ind w:left="2160" w:hanging="360"/>
      </w:pPr>
    </w:lvl>
    <w:lvl w:ilvl="3" w:tplc="02EE9E60">
      <w:start w:val="1"/>
      <w:numFmt w:val="bullet"/>
      <w:lvlText w:val="●"/>
      <w:lvlJc w:val="left"/>
      <w:pPr>
        <w:ind w:left="2880" w:hanging="360"/>
      </w:pPr>
    </w:lvl>
    <w:lvl w:ilvl="4" w:tplc="48E4CF12">
      <w:start w:val="1"/>
      <w:numFmt w:val="bullet"/>
      <w:lvlText w:val="○"/>
      <w:lvlJc w:val="left"/>
      <w:pPr>
        <w:ind w:left="3600" w:hanging="360"/>
      </w:pPr>
    </w:lvl>
    <w:lvl w:ilvl="5" w:tplc="805E2B12">
      <w:start w:val="1"/>
      <w:numFmt w:val="bullet"/>
      <w:lvlText w:val="■"/>
      <w:lvlJc w:val="left"/>
      <w:pPr>
        <w:ind w:left="4320" w:hanging="360"/>
      </w:pPr>
    </w:lvl>
    <w:lvl w:ilvl="6" w:tplc="98AEF07E">
      <w:start w:val="1"/>
      <w:numFmt w:val="bullet"/>
      <w:lvlText w:val="●"/>
      <w:lvlJc w:val="left"/>
      <w:pPr>
        <w:ind w:left="5040" w:hanging="360"/>
      </w:pPr>
    </w:lvl>
    <w:lvl w:ilvl="7" w:tplc="B8563024">
      <w:start w:val="1"/>
      <w:numFmt w:val="bullet"/>
      <w:lvlText w:val="●"/>
      <w:lvlJc w:val="left"/>
      <w:pPr>
        <w:ind w:left="5760" w:hanging="360"/>
      </w:pPr>
    </w:lvl>
    <w:lvl w:ilvl="8" w:tplc="57BA1782">
      <w:start w:val="1"/>
      <w:numFmt w:val="bullet"/>
      <w:lvlText w:val="●"/>
      <w:lvlJc w:val="left"/>
      <w:pPr>
        <w:ind w:left="6480" w:hanging="360"/>
      </w:pPr>
    </w:lvl>
  </w:abstractNum>
  <w:num w:numId="1" w16cid:durableId="1456635132">
    <w:abstractNumId w:val="1"/>
    <w:lvlOverride w:ilvl="0">
      <w:startOverride w:val="1"/>
    </w:lvlOverride>
  </w:num>
  <w:num w:numId="2" w16cid:durableId="2371798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1A1"/>
    <w:rsid w:val="00004EC4"/>
    <w:rsid w:val="00021111"/>
    <w:rsid w:val="001178B0"/>
    <w:rsid w:val="001D1012"/>
    <w:rsid w:val="002C5702"/>
    <w:rsid w:val="00432B4D"/>
    <w:rsid w:val="00451403"/>
    <w:rsid w:val="00465499"/>
    <w:rsid w:val="004E1709"/>
    <w:rsid w:val="005256BD"/>
    <w:rsid w:val="005854C7"/>
    <w:rsid w:val="00650B3C"/>
    <w:rsid w:val="0067289C"/>
    <w:rsid w:val="006B1B35"/>
    <w:rsid w:val="00711AD7"/>
    <w:rsid w:val="007141A1"/>
    <w:rsid w:val="00762497"/>
    <w:rsid w:val="0076746F"/>
    <w:rsid w:val="00813595"/>
    <w:rsid w:val="008D0C8B"/>
    <w:rsid w:val="008F60D5"/>
    <w:rsid w:val="00A0737E"/>
    <w:rsid w:val="00B31131"/>
    <w:rsid w:val="00BA0813"/>
    <w:rsid w:val="00BD1C60"/>
    <w:rsid w:val="00C51ED3"/>
    <w:rsid w:val="00C76C44"/>
    <w:rsid w:val="00E66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23BD7"/>
  <w15:docId w15:val="{90B2BF7F-92A7-4CFB-A04D-14AA5230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8F60D5"/>
    <w:pPr>
      <w:keepNext/>
      <w:spacing w:before="240" w:after="120"/>
      <w:outlineLvl w:val="0"/>
    </w:pPr>
    <w:rPr>
      <w:b/>
      <w:bCs/>
      <w:color w:val="2E75B6"/>
      <w:sz w:val="32"/>
      <w:szCs w:val="32"/>
    </w:rPr>
  </w:style>
  <w:style w:type="paragraph" w:styleId="Heading2">
    <w:name w:val="heading 2"/>
    <w:uiPriority w:val="9"/>
    <w:unhideWhenUsed/>
    <w:qFormat/>
    <w:pPr>
      <w:spacing w:before="180" w:after="100"/>
      <w:outlineLvl w:val="1"/>
    </w:pPr>
    <w:rPr>
      <w:b/>
      <w:bCs/>
      <w:color w:val="2E75B6"/>
      <w:sz w:val="28"/>
      <w:szCs w:val="28"/>
    </w:rPr>
  </w:style>
  <w:style w:type="paragraph" w:styleId="Heading3">
    <w:name w:val="heading 3"/>
    <w:uiPriority w:val="9"/>
    <w:semiHidden/>
    <w:unhideWhenUsed/>
    <w:qFormat/>
    <w:pPr>
      <w:spacing w:before="120" w:after="80"/>
      <w:outlineLvl w:val="2"/>
    </w:pPr>
    <w:rPr>
      <w:b/>
      <w:bCs/>
      <w:color w:val="44546A"/>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51ED3"/>
    <w:pPr>
      <w:tabs>
        <w:tab w:val="center" w:pos="4680"/>
        <w:tab w:val="right" w:pos="9360"/>
      </w:tabs>
    </w:pPr>
  </w:style>
  <w:style w:type="character" w:customStyle="1" w:styleId="HeaderChar">
    <w:name w:val="Header Char"/>
    <w:basedOn w:val="DefaultParagraphFont"/>
    <w:link w:val="Header"/>
    <w:uiPriority w:val="99"/>
    <w:rsid w:val="00C51ED3"/>
  </w:style>
  <w:style w:type="paragraph" w:styleId="Footer">
    <w:name w:val="footer"/>
    <w:basedOn w:val="Normal"/>
    <w:link w:val="FooterChar"/>
    <w:uiPriority w:val="99"/>
    <w:unhideWhenUsed/>
    <w:rsid w:val="00C51ED3"/>
    <w:pPr>
      <w:tabs>
        <w:tab w:val="center" w:pos="4680"/>
        <w:tab w:val="right" w:pos="9360"/>
      </w:tabs>
    </w:pPr>
  </w:style>
  <w:style w:type="character" w:customStyle="1" w:styleId="FooterChar">
    <w:name w:val="Footer Char"/>
    <w:basedOn w:val="DefaultParagraphFont"/>
    <w:link w:val="Footer"/>
    <w:uiPriority w:val="99"/>
    <w:rsid w:val="00C51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Stromberg</cp:lastModifiedBy>
  <cp:revision>19</cp:revision>
  <dcterms:created xsi:type="dcterms:W3CDTF">2026-06-28T21:14:00Z</dcterms:created>
  <dcterms:modified xsi:type="dcterms:W3CDTF">2026-08-09T16:59:00Z</dcterms:modified>
</cp:coreProperties>
</file>